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ACF" w:rsidRPr="000C4562" w:rsidRDefault="00A21ACF" w:rsidP="00A21ACF">
      <w:pPr>
        <w:suppressAutoHyphens w:val="0"/>
        <w:rPr>
          <w:bCs/>
          <w:sz w:val="24"/>
        </w:rPr>
      </w:pPr>
      <w:r w:rsidRPr="000C4562">
        <w:rPr>
          <w:bCs/>
          <w:sz w:val="24"/>
        </w:rPr>
        <w:t>Processo: 59550.000</w:t>
      </w:r>
      <w:r w:rsidR="000D616C">
        <w:rPr>
          <w:bCs/>
          <w:sz w:val="24"/>
        </w:rPr>
        <w:t>9</w:t>
      </w:r>
      <w:r w:rsidR="00593F74">
        <w:rPr>
          <w:bCs/>
          <w:sz w:val="24"/>
        </w:rPr>
        <w:t>46</w:t>
      </w:r>
      <w:r w:rsidRPr="000C4562">
        <w:rPr>
          <w:bCs/>
          <w:sz w:val="24"/>
        </w:rPr>
        <w:t>/2024-</w:t>
      </w:r>
      <w:r w:rsidR="000D616C">
        <w:rPr>
          <w:bCs/>
          <w:sz w:val="24"/>
        </w:rPr>
        <w:t>7</w:t>
      </w:r>
      <w:r w:rsidR="00593F74">
        <w:rPr>
          <w:bCs/>
          <w:sz w:val="24"/>
        </w:rPr>
        <w:t>8</w:t>
      </w:r>
      <w:r w:rsidRPr="000C4562">
        <w:rPr>
          <w:bCs/>
          <w:sz w:val="24"/>
        </w:rPr>
        <w:t>-e</w:t>
      </w:r>
    </w:p>
    <w:p w:rsidR="00FC4138" w:rsidRPr="000C4562" w:rsidRDefault="00FC4138" w:rsidP="00A21ACF">
      <w:pPr>
        <w:suppressAutoHyphens w:val="0"/>
        <w:rPr>
          <w:b/>
          <w:bCs/>
          <w:sz w:val="24"/>
        </w:rPr>
      </w:pPr>
    </w:p>
    <w:p w:rsidR="00A21ACF" w:rsidRPr="000C4562" w:rsidRDefault="00A21ACF" w:rsidP="00727812">
      <w:pPr>
        <w:suppressAutoHyphens w:val="0"/>
        <w:rPr>
          <w:bCs/>
          <w:sz w:val="24"/>
        </w:rPr>
      </w:pPr>
      <w:r w:rsidRPr="000C4562">
        <w:rPr>
          <w:bCs/>
          <w:sz w:val="24"/>
        </w:rPr>
        <w:t xml:space="preserve">Objeto: </w:t>
      </w:r>
      <w:r w:rsidR="00593F74">
        <w:rPr>
          <w:bCs/>
          <w:sz w:val="24"/>
        </w:rPr>
        <w:t>Fornecimento</w:t>
      </w:r>
      <w:r w:rsidR="00593F74" w:rsidRPr="00593F74">
        <w:rPr>
          <w:bCs/>
          <w:sz w:val="24"/>
        </w:rPr>
        <w:t>, carga, transporte e descarga de tubos, conexões e peças especiais, para ampliação de sistemas de irrigação de agricultores familiares de povoados localizados no Município de Quebrangulo, no Estado de Alagoas, com 30 (trinta) itens, distribuídos em 01 (um) grupo.</w:t>
      </w:r>
      <w:bookmarkStart w:id="0" w:name="_GoBack"/>
      <w:bookmarkEnd w:id="0"/>
    </w:p>
    <w:p w:rsidR="00FC4138" w:rsidRPr="000C4562" w:rsidRDefault="00FC4138" w:rsidP="00A21ACF">
      <w:pPr>
        <w:suppressAutoHyphens w:val="0"/>
        <w:rPr>
          <w:bCs/>
          <w:sz w:val="24"/>
        </w:rPr>
      </w:pPr>
    </w:p>
    <w:p w:rsidR="00A21ACF" w:rsidRPr="000C4562" w:rsidRDefault="00A21ACF" w:rsidP="00A21ACF">
      <w:pPr>
        <w:suppressAutoHyphens w:val="0"/>
        <w:rPr>
          <w:bCs/>
          <w:sz w:val="24"/>
        </w:rPr>
      </w:pPr>
      <w:r w:rsidRPr="000C4562">
        <w:rPr>
          <w:bCs/>
          <w:sz w:val="24"/>
        </w:rPr>
        <w:t xml:space="preserve">Valor Estimado: R$ </w:t>
      </w:r>
      <w:r w:rsidR="00593F74">
        <w:rPr>
          <w:bCs/>
          <w:sz w:val="24"/>
        </w:rPr>
        <w:t>249.999,98</w:t>
      </w:r>
      <w:r w:rsidR="00FC4138" w:rsidRPr="000C4562">
        <w:rPr>
          <w:bCs/>
          <w:sz w:val="24"/>
        </w:rPr>
        <w:t>.</w:t>
      </w:r>
    </w:p>
    <w:p w:rsidR="00A21ACF" w:rsidRPr="000C4562" w:rsidRDefault="00A21ACF" w:rsidP="00A21ACF">
      <w:pPr>
        <w:suppressAutoHyphens w:val="0"/>
        <w:rPr>
          <w:b/>
          <w:bCs/>
          <w:sz w:val="24"/>
        </w:rPr>
      </w:pPr>
    </w:p>
    <w:p w:rsidR="00FC4138" w:rsidRPr="000C4562" w:rsidRDefault="00FC4138" w:rsidP="00A21ACF">
      <w:pPr>
        <w:suppressAutoHyphens w:val="0"/>
        <w:rPr>
          <w:bCs/>
          <w:sz w:val="24"/>
        </w:rPr>
      </w:pPr>
      <w:r w:rsidRPr="000C4562">
        <w:rPr>
          <w:bCs/>
          <w:sz w:val="24"/>
        </w:rPr>
        <w:t xml:space="preserve">Justificativas. </w:t>
      </w:r>
      <w:r w:rsidR="00396990" w:rsidRPr="000C4562">
        <w:rPr>
          <w:bCs/>
          <w:sz w:val="24"/>
        </w:rPr>
        <w:t xml:space="preserve">CF, Art. 37, XXI. Lei nº 13.303/2016, Art. 58, II. </w:t>
      </w:r>
      <w:r w:rsidRPr="000C4562">
        <w:rPr>
          <w:bCs/>
          <w:sz w:val="24"/>
        </w:rPr>
        <w:t>Súmula nº 289 - TCU</w:t>
      </w:r>
    </w:p>
    <w:p w:rsidR="00A21ACF" w:rsidRPr="000C4562" w:rsidRDefault="00A21ACF" w:rsidP="00A21ACF">
      <w:pPr>
        <w:pStyle w:val="PargrafodaLista"/>
        <w:suppressAutoHyphens w:val="0"/>
        <w:ind w:left="851"/>
        <w:rPr>
          <w:bCs/>
          <w:sz w:val="24"/>
        </w:rPr>
      </w:pPr>
    </w:p>
    <w:p w:rsidR="00A21ACF" w:rsidRPr="000C4562" w:rsidRDefault="00A21ACF" w:rsidP="00A21ACF">
      <w:pPr>
        <w:pStyle w:val="PargrafodaLista"/>
        <w:numPr>
          <w:ilvl w:val="0"/>
          <w:numId w:val="2"/>
        </w:numPr>
        <w:suppressAutoHyphens w:val="0"/>
        <w:ind w:left="851" w:hanging="851"/>
        <w:rPr>
          <w:bCs/>
          <w:sz w:val="24"/>
        </w:rPr>
      </w:pPr>
      <w:r w:rsidRPr="000C4562">
        <w:rPr>
          <w:bCs/>
          <w:sz w:val="24"/>
        </w:rPr>
        <w:t>Capacidade Econômica e Financeira</w:t>
      </w:r>
    </w:p>
    <w:p w:rsidR="00A21ACF" w:rsidRPr="000C4562" w:rsidRDefault="00A21ACF" w:rsidP="00A21ACF">
      <w:pPr>
        <w:pStyle w:val="PargrafodaLista"/>
        <w:ind w:left="3474" w:hanging="3474"/>
        <w:rPr>
          <w:b/>
          <w:bCs/>
          <w:sz w:val="24"/>
        </w:rPr>
      </w:pPr>
    </w:p>
    <w:p w:rsidR="00A21ACF" w:rsidRPr="000C4562" w:rsidRDefault="00A21ACF" w:rsidP="00A21ACF">
      <w:pPr>
        <w:pStyle w:val="PargrafodaLista"/>
        <w:numPr>
          <w:ilvl w:val="1"/>
          <w:numId w:val="2"/>
        </w:numPr>
        <w:suppressAutoHyphens w:val="0"/>
        <w:ind w:left="851" w:hanging="851"/>
        <w:rPr>
          <w:b/>
          <w:bCs/>
          <w:sz w:val="24"/>
        </w:rPr>
      </w:pPr>
      <w:r w:rsidRPr="000C4562">
        <w:rPr>
          <w:b/>
          <w:bCs/>
          <w:sz w:val="24"/>
        </w:rPr>
        <w:t>Capital Social</w:t>
      </w:r>
    </w:p>
    <w:p w:rsidR="00A21ACF" w:rsidRPr="000C4562" w:rsidRDefault="00A21ACF" w:rsidP="00A21ACF">
      <w:pPr>
        <w:rPr>
          <w:b/>
          <w:bCs/>
          <w:sz w:val="24"/>
        </w:rPr>
      </w:pPr>
    </w:p>
    <w:p w:rsidR="00A21ACF" w:rsidRPr="000C4562" w:rsidRDefault="00A21ACF" w:rsidP="00396990">
      <w:pPr>
        <w:spacing w:line="360" w:lineRule="auto"/>
        <w:ind w:firstLine="708"/>
        <w:rPr>
          <w:bCs/>
          <w:sz w:val="24"/>
        </w:rPr>
      </w:pPr>
      <w:r w:rsidRPr="000C4562">
        <w:rPr>
          <w:bCs/>
          <w:sz w:val="24"/>
        </w:rPr>
        <w:t>O capital social (integralizado ou subscrito) representa um dos subgrupos que compõem o patrimônio líquido da pessoa jurídica; e forma-se pelos valores investidos pelos sócios ou acionistas e aqueles resultantes de lucros não distribuídos.</w:t>
      </w:r>
    </w:p>
    <w:p w:rsidR="00A21ACF" w:rsidRPr="000C4562" w:rsidRDefault="00A21ACF" w:rsidP="00396990">
      <w:pPr>
        <w:spacing w:line="360" w:lineRule="auto"/>
        <w:ind w:firstLine="708"/>
        <w:rPr>
          <w:bCs/>
          <w:sz w:val="24"/>
        </w:rPr>
      </w:pPr>
      <w:r w:rsidRPr="000C4562">
        <w:rPr>
          <w:bCs/>
          <w:sz w:val="24"/>
        </w:rPr>
        <w:t>Sua importância se manifesta na medida em que determina a capacidade operacional e de investimentos de uma empresa no momento em que é criada. No curso de operacionalização das atividades, este capital, conforme seu estatuto ou contrato social, poderá ser incrementado com a destinação de lucros parciais, o que demonstrará a capacidade de desenvolvimento e de crescimento da empresa. Em síntese: O capital social é a soma dos valores representados por moeda e bens disponibilizados pelos sócios e investidores do negócio.</w:t>
      </w:r>
    </w:p>
    <w:p w:rsidR="00A21ACF" w:rsidRPr="000C4562" w:rsidRDefault="00A21ACF" w:rsidP="00A21ACF">
      <w:pPr>
        <w:rPr>
          <w:bCs/>
          <w:sz w:val="24"/>
        </w:rPr>
      </w:pPr>
    </w:p>
    <w:p w:rsidR="00A21ACF" w:rsidRPr="000C4562" w:rsidRDefault="00A21ACF" w:rsidP="00A21ACF">
      <w:pPr>
        <w:pStyle w:val="PargrafodaLista"/>
        <w:numPr>
          <w:ilvl w:val="1"/>
          <w:numId w:val="2"/>
        </w:numPr>
        <w:suppressAutoHyphens w:val="0"/>
        <w:ind w:left="851" w:hanging="851"/>
        <w:rPr>
          <w:b/>
          <w:bCs/>
          <w:sz w:val="24"/>
        </w:rPr>
      </w:pPr>
      <w:r w:rsidRPr="000C4562">
        <w:rPr>
          <w:b/>
          <w:bCs/>
          <w:sz w:val="24"/>
        </w:rPr>
        <w:t xml:space="preserve"> Índices econômicos.</w:t>
      </w:r>
    </w:p>
    <w:p w:rsidR="00A21ACF" w:rsidRPr="000C4562" w:rsidRDefault="00A21ACF" w:rsidP="00A21ACF">
      <w:pPr>
        <w:rPr>
          <w:b/>
          <w:bCs/>
          <w:sz w:val="24"/>
        </w:rPr>
      </w:pPr>
    </w:p>
    <w:p w:rsidR="00A21ACF" w:rsidRPr="000C4562" w:rsidRDefault="00A21ACF" w:rsidP="00A21ACF">
      <w:pPr>
        <w:spacing w:line="360" w:lineRule="auto"/>
        <w:rPr>
          <w:sz w:val="24"/>
        </w:rPr>
      </w:pPr>
      <w:r w:rsidRPr="000C4562">
        <w:rPr>
          <w:sz w:val="24"/>
        </w:rPr>
        <w:t xml:space="preserve"> </w:t>
      </w:r>
      <w:r w:rsidRPr="000C4562">
        <w:rPr>
          <w:sz w:val="24"/>
        </w:rPr>
        <w:tab/>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rsidR="00A21ACF" w:rsidRPr="000C4562" w:rsidRDefault="00A21ACF" w:rsidP="00A21ACF">
      <w:pPr>
        <w:spacing w:line="360" w:lineRule="auto"/>
        <w:ind w:firstLine="709"/>
        <w:rPr>
          <w:sz w:val="24"/>
        </w:rPr>
      </w:pPr>
      <w:r w:rsidRPr="000C4562">
        <w:rPr>
          <w:sz w:val="24"/>
        </w:rPr>
        <w:t xml:space="preserve">A Lei 13.303/2016, Art. 58, II, preceitua, nesta seara, que um dos parâmetros exclusivos de apreciação da habilitação do licitante é </w:t>
      </w:r>
      <w:r w:rsidR="00396990" w:rsidRPr="000C4562">
        <w:rPr>
          <w:sz w:val="24"/>
        </w:rPr>
        <w:t xml:space="preserve">a </w:t>
      </w:r>
      <w:r w:rsidRPr="000C4562">
        <w:rPr>
          <w:sz w:val="24"/>
        </w:rPr>
        <w:t>capacidade econômica e financeira.</w:t>
      </w:r>
    </w:p>
    <w:p w:rsidR="00A21ACF" w:rsidRPr="000C4562" w:rsidRDefault="00A21ACF" w:rsidP="00396990">
      <w:pPr>
        <w:spacing w:line="360" w:lineRule="auto"/>
        <w:ind w:firstLine="708"/>
        <w:rPr>
          <w:sz w:val="24"/>
        </w:rPr>
      </w:pPr>
      <w:r w:rsidRPr="000C4562">
        <w:rPr>
          <w:sz w:val="24"/>
        </w:rPr>
        <w:lastRenderedPageBreak/>
        <w:t>Diante deste conjunto normativo, o administrador depara-se, também, com a jurisprudência sedimentada na Súmula nº 289 da Corte de Contas da União, a que a Empresa Pública deve cumprimento.</w:t>
      </w:r>
    </w:p>
    <w:p w:rsidR="00A21ACF" w:rsidRPr="000C4562" w:rsidRDefault="00A21ACF" w:rsidP="00A21ACF">
      <w:pPr>
        <w:rPr>
          <w:sz w:val="24"/>
        </w:rPr>
      </w:pPr>
    </w:p>
    <w:p w:rsidR="00A21ACF" w:rsidRPr="000C4562" w:rsidRDefault="00A21ACF" w:rsidP="00A21ACF">
      <w:pPr>
        <w:ind w:left="2268"/>
        <w:rPr>
          <w:sz w:val="24"/>
        </w:rPr>
      </w:pPr>
      <w:r w:rsidRPr="000C4562">
        <w:rPr>
          <w:sz w:val="24"/>
        </w:rPr>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w:t>
      </w:r>
    </w:p>
    <w:p w:rsidR="00A21ACF" w:rsidRPr="000C4562" w:rsidRDefault="00A21ACF" w:rsidP="00A21ACF">
      <w:pPr>
        <w:rPr>
          <w:sz w:val="24"/>
        </w:rPr>
      </w:pPr>
    </w:p>
    <w:p w:rsidR="00A21ACF" w:rsidRPr="000C4562" w:rsidRDefault="00A21ACF" w:rsidP="00A21ACF">
      <w:pPr>
        <w:spacing w:line="360" w:lineRule="auto"/>
        <w:ind w:firstLine="709"/>
        <w:rPr>
          <w:sz w:val="24"/>
        </w:rPr>
      </w:pPr>
      <w:r w:rsidRPr="000C4562">
        <w:rPr>
          <w:sz w:val="24"/>
        </w:rPr>
        <w:t>É prerrogativa da administração, e via de regra,</w:t>
      </w:r>
      <w:r w:rsidR="00396990" w:rsidRPr="000C4562">
        <w:rPr>
          <w:sz w:val="24"/>
        </w:rPr>
        <w:t xml:space="preserve"> seu</w:t>
      </w:r>
      <w:r w:rsidRPr="000C4562">
        <w:rPr>
          <w:sz w:val="24"/>
        </w:rPr>
        <w:t xml:space="preserve"> dever</w:t>
      </w:r>
      <w:r w:rsidR="00396990" w:rsidRPr="000C4562">
        <w:rPr>
          <w:sz w:val="24"/>
        </w:rPr>
        <w:t>,</w:t>
      </w:r>
      <w:r w:rsidRPr="000C4562">
        <w:rPr>
          <w:sz w:val="24"/>
        </w:rPr>
        <w:t xml:space="preserve"> aferir objetivamente</w:t>
      </w:r>
      <w:r w:rsidR="00396990" w:rsidRPr="000C4562">
        <w:rPr>
          <w:sz w:val="24"/>
        </w:rPr>
        <w:t>,</w:t>
      </w:r>
      <w:r w:rsidRPr="000C4562">
        <w:rPr>
          <w:sz w:val="24"/>
        </w:rPr>
        <w:t xml:space="preserve"> a capacidade do futuro contratado, não para construir um muro inútil de restrições comprometedo</w:t>
      </w:r>
      <w:r w:rsidR="00396990" w:rsidRPr="000C4562">
        <w:rPr>
          <w:sz w:val="24"/>
        </w:rPr>
        <w:t>ras</w:t>
      </w:r>
      <w:r w:rsidRPr="000C4562">
        <w:rPr>
          <w:sz w:val="24"/>
        </w:rPr>
        <w:t xml:space="preserve"> </w:t>
      </w:r>
      <w:r w:rsidR="00396990" w:rsidRPr="000C4562">
        <w:rPr>
          <w:sz w:val="24"/>
        </w:rPr>
        <w:t>d</w:t>
      </w:r>
      <w:r w:rsidRPr="000C4562">
        <w:rPr>
          <w:sz w:val="24"/>
        </w:rPr>
        <w:t>o caráter competitivo da licitação, mas</w:t>
      </w:r>
      <w:r w:rsidR="00396990" w:rsidRPr="000C4562">
        <w:rPr>
          <w:sz w:val="24"/>
        </w:rPr>
        <w:t>,</w:t>
      </w:r>
      <w:r w:rsidRPr="000C4562">
        <w:rPr>
          <w:sz w:val="24"/>
        </w:rPr>
        <w:t xml:space="preserve"> para prevenir a adjudicação de objetos licitados a contratados sem condições de honrar os compromissos assumidos perante ela.</w:t>
      </w:r>
    </w:p>
    <w:p w:rsidR="00A21ACF" w:rsidRPr="000C4562" w:rsidRDefault="00A21ACF" w:rsidP="00A21ACF">
      <w:pPr>
        <w:spacing w:line="360" w:lineRule="auto"/>
        <w:ind w:firstLine="709"/>
        <w:rPr>
          <w:sz w:val="24"/>
        </w:rPr>
      </w:pPr>
      <w:r w:rsidRPr="000C4562">
        <w:rPr>
          <w:sz w:val="24"/>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rsidR="00A21ACF" w:rsidRPr="000C4562" w:rsidRDefault="00A21ACF" w:rsidP="00A21ACF">
      <w:pPr>
        <w:spacing w:line="360" w:lineRule="auto"/>
        <w:ind w:firstLine="709"/>
        <w:rPr>
          <w:sz w:val="24"/>
        </w:rPr>
      </w:pPr>
      <w:r w:rsidRPr="000C4562">
        <w:rPr>
          <w:sz w:val="24"/>
        </w:rPr>
        <w:t xml:space="preserve">Diante da legislação e da jurisprudência alhures citadas, definem-se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w:t>
      </w:r>
    </w:p>
    <w:p w:rsidR="00A21ACF" w:rsidRPr="000C4562" w:rsidRDefault="00A21ACF" w:rsidP="00A21ACF">
      <w:pPr>
        <w:spacing w:line="360" w:lineRule="auto"/>
        <w:ind w:firstLine="709"/>
        <w:rPr>
          <w:color w:val="538135"/>
          <w:sz w:val="24"/>
        </w:rPr>
      </w:pPr>
      <w:r w:rsidRPr="000C4562">
        <w:rPr>
          <w:sz w:val="24"/>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w:t>
      </w:r>
      <w:r w:rsidRPr="000C4562">
        <w:rPr>
          <w:sz w:val="24"/>
        </w:rPr>
        <w:lastRenderedPageBreak/>
        <w:t>como é o caso do índice de solvência geral. O cociente de cada índice deve ser pelo menos um. O ideal é que seja superior a um, o que demonstra ter capacidade plena de cumprir os compromissos.</w:t>
      </w:r>
    </w:p>
    <w:p w:rsidR="00A21ACF" w:rsidRPr="000C4562" w:rsidRDefault="00A21ACF" w:rsidP="00A21ACF">
      <w:pPr>
        <w:spacing w:line="360" w:lineRule="auto"/>
        <w:rPr>
          <w:color w:val="538135"/>
          <w:sz w:val="24"/>
        </w:rPr>
      </w:pPr>
    </w:p>
    <w:p w:rsidR="00A21ACF" w:rsidRPr="000C4562" w:rsidRDefault="00A21ACF" w:rsidP="00A21ACF">
      <w:pPr>
        <w:pStyle w:val="PargrafodaLista"/>
        <w:numPr>
          <w:ilvl w:val="0"/>
          <w:numId w:val="1"/>
        </w:numPr>
        <w:suppressAutoHyphens w:val="0"/>
        <w:spacing w:line="360" w:lineRule="auto"/>
        <w:ind w:left="709" w:hanging="352"/>
        <w:rPr>
          <w:sz w:val="24"/>
        </w:rPr>
      </w:pPr>
      <w:r w:rsidRPr="000C4562">
        <w:rPr>
          <w:sz w:val="24"/>
        </w:rPr>
        <w:t>Liquidez Geral. É a liquidez a curto e longo prazo. Identifica a capacidade de pagamento da empresa a curto e longo Prazo. Ou seja, quanto possui a empresa no AC+RLP para cada real a pagar (PC+</w:t>
      </w:r>
      <w:r w:rsidR="003469D2" w:rsidRPr="000C4562">
        <w:rPr>
          <w:sz w:val="24"/>
        </w:rPr>
        <w:t>E</w:t>
      </w:r>
      <w:r w:rsidRPr="000C4562">
        <w:rPr>
          <w:sz w:val="24"/>
        </w:rPr>
        <w:t xml:space="preserve">LP). Demonstra a segurança no crescimento. Quanto maior que um, maior a capacidade de horar os compromissos. </w:t>
      </w:r>
    </w:p>
    <w:p w:rsidR="00A21ACF" w:rsidRPr="000C4562" w:rsidRDefault="00A21ACF" w:rsidP="00A21ACF">
      <w:pPr>
        <w:pStyle w:val="PargrafodaLista"/>
        <w:numPr>
          <w:ilvl w:val="0"/>
          <w:numId w:val="1"/>
        </w:numPr>
        <w:suppressAutoHyphens w:val="0"/>
        <w:spacing w:line="360" w:lineRule="auto"/>
        <w:ind w:left="709" w:hanging="352"/>
        <w:rPr>
          <w:sz w:val="24"/>
        </w:rPr>
      </w:pPr>
      <w:r w:rsidRPr="000C4562">
        <w:rPr>
          <w:sz w:val="24"/>
        </w:rPr>
        <w:t>Solvência Geral. É a capacidade de uma empresa de honrar todos os seus compromissos financeiros a curto e longo prazo</w:t>
      </w:r>
      <w:r w:rsidR="001D6AD7" w:rsidRPr="000C4562">
        <w:rPr>
          <w:sz w:val="24"/>
        </w:rPr>
        <w:t>.</w:t>
      </w:r>
      <w:r w:rsidRPr="000C4562">
        <w:rPr>
          <w:sz w:val="24"/>
        </w:rPr>
        <w:t xml:space="preserve"> </w:t>
      </w:r>
      <w:r w:rsidR="001D6AD7" w:rsidRPr="000C4562">
        <w:rPr>
          <w:sz w:val="24"/>
        </w:rPr>
        <w:t>I</w:t>
      </w:r>
      <w:r w:rsidRPr="000C4562">
        <w:rPr>
          <w:sz w:val="24"/>
        </w:rPr>
        <w:t xml:space="preserve">dentifica a segurança apresentada, para pagar todos </w:t>
      </w:r>
      <w:r w:rsidR="001D6AD7" w:rsidRPr="000C4562">
        <w:rPr>
          <w:sz w:val="24"/>
        </w:rPr>
        <w:t xml:space="preserve">os </w:t>
      </w:r>
      <w:r w:rsidRPr="000C4562">
        <w:rPr>
          <w:sz w:val="24"/>
        </w:rPr>
        <w:t xml:space="preserve">compromissos e ainda permanecer com reserva considerável, o que assegura sua sobrevivência por bom tempo no mercado. Mostra o quanto a empresa possui em seu ativo total para pagar cada real do passivo (menos o patrimônio Líquido). </w:t>
      </w:r>
    </w:p>
    <w:p w:rsidR="00A21ACF" w:rsidRPr="000C4562" w:rsidRDefault="00A21ACF" w:rsidP="00A21ACF">
      <w:pPr>
        <w:pStyle w:val="PargrafodaLista"/>
        <w:numPr>
          <w:ilvl w:val="0"/>
          <w:numId w:val="1"/>
        </w:numPr>
        <w:suppressAutoHyphens w:val="0"/>
        <w:spacing w:line="360" w:lineRule="auto"/>
        <w:ind w:left="709" w:hanging="352"/>
        <w:rPr>
          <w:sz w:val="24"/>
        </w:rPr>
      </w:pPr>
      <w:r w:rsidRPr="000C4562">
        <w:rPr>
          <w:sz w:val="24"/>
        </w:rPr>
        <w:t>Liquidez Corrente. É a liquidez a curto prazo. Identifica a capacidade de pagamento a curto prazo. Mostra o quanto há de ativo circulante para cada real de dívida a curto prazo.</w:t>
      </w:r>
    </w:p>
    <w:p w:rsidR="00A21ACF" w:rsidRPr="000C4562" w:rsidRDefault="00A21ACF" w:rsidP="00A21ACF">
      <w:pPr>
        <w:rPr>
          <w:color w:val="538135"/>
          <w:sz w:val="24"/>
        </w:rPr>
      </w:pPr>
    </w:p>
    <w:p w:rsidR="00A21ACF" w:rsidRPr="000C4562" w:rsidRDefault="00A21ACF" w:rsidP="00A21ACF">
      <w:pPr>
        <w:spacing w:line="360" w:lineRule="auto"/>
        <w:ind w:firstLine="851"/>
        <w:rPr>
          <w:sz w:val="24"/>
        </w:rPr>
      </w:pPr>
      <w:r w:rsidRPr="000C4562">
        <w:rPr>
          <w:sz w:val="24"/>
        </w:rPr>
        <w:t>As características peculiares ao objeto ora trata</w:t>
      </w:r>
      <w:r w:rsidR="000C4562" w:rsidRPr="000C4562">
        <w:rPr>
          <w:sz w:val="24"/>
        </w:rPr>
        <w:t>do</w:t>
      </w:r>
      <w:r w:rsidRPr="000C4562">
        <w:rPr>
          <w:sz w:val="24"/>
        </w:rPr>
        <w:t>,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objeto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w:t>
      </w:r>
    </w:p>
    <w:p w:rsidR="00A21ACF" w:rsidRPr="000C4562" w:rsidRDefault="00A21ACF" w:rsidP="00A21ACF">
      <w:pPr>
        <w:spacing w:line="360" w:lineRule="auto"/>
        <w:ind w:firstLine="851"/>
        <w:rPr>
          <w:sz w:val="24"/>
        </w:rPr>
      </w:pPr>
      <w:r w:rsidRPr="000C4562">
        <w:rPr>
          <w:sz w:val="24"/>
        </w:rPr>
        <w:t xml:space="preserve">Por tudo que se expôs, afigura-se plenamente razoável que a CODEVASF disponha, como critério de aferição da saúde econômico-financeira das empresas que se proponham a com ela contratar, </w:t>
      </w:r>
      <w:r w:rsidR="001D6AD7" w:rsidRPr="000C4562">
        <w:rPr>
          <w:sz w:val="24"/>
        </w:rPr>
        <w:t xml:space="preserve">do capital social no </w:t>
      </w:r>
      <w:r w:rsidR="001D6AD7" w:rsidRPr="000C4562">
        <w:rPr>
          <w:sz w:val="24"/>
        </w:rPr>
        <w:lastRenderedPageBreak/>
        <w:t>patamar posto</w:t>
      </w:r>
      <w:r w:rsidRPr="000C4562">
        <w:rPr>
          <w:sz w:val="24"/>
        </w:rPr>
        <w:t xml:space="preserve">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rsidR="00554924" w:rsidRPr="000C4562" w:rsidRDefault="00554924" w:rsidP="00554924">
      <w:pPr>
        <w:rPr>
          <w:b/>
          <w:bCs/>
          <w:sz w:val="24"/>
          <w:u w:val="single"/>
        </w:rPr>
      </w:pPr>
    </w:p>
    <w:p w:rsidR="00554924" w:rsidRPr="000C4562" w:rsidRDefault="00554924" w:rsidP="00554924">
      <w:pPr>
        <w:rPr>
          <w:sz w:val="24"/>
        </w:rPr>
      </w:pPr>
      <w:r w:rsidRPr="000C4562">
        <w:rPr>
          <w:b/>
          <w:bCs/>
          <w:sz w:val="24"/>
          <w:u w:val="single"/>
        </w:rPr>
        <w:t>Intervalo mínimo entre lances:</w:t>
      </w:r>
      <w:r w:rsidRPr="000C4562">
        <w:rPr>
          <w:sz w:val="24"/>
        </w:rPr>
        <w:t xml:space="preserve"> </w:t>
      </w:r>
    </w:p>
    <w:p w:rsidR="00554924" w:rsidRPr="000C4562" w:rsidRDefault="00554924" w:rsidP="00554924">
      <w:pPr>
        <w:rPr>
          <w:sz w:val="24"/>
        </w:rPr>
      </w:pPr>
    </w:p>
    <w:p w:rsidR="00554924" w:rsidRPr="000C4562" w:rsidRDefault="00554924" w:rsidP="00554924">
      <w:pPr>
        <w:rPr>
          <w:sz w:val="24"/>
        </w:rPr>
      </w:pPr>
      <w:r w:rsidRPr="000C4562">
        <w:rPr>
          <w:sz w:val="24"/>
        </w:rPr>
        <w:t xml:space="preserve">O intervalo mínimo de diferença de valor entre os lances, incidirá tanto em relação aos lances intermediários quanto em relação ao lance que cobrir a melhor oferta. </w:t>
      </w:r>
    </w:p>
    <w:p w:rsidR="00554924" w:rsidRPr="000C4562" w:rsidRDefault="00554924" w:rsidP="00554924">
      <w:pPr>
        <w:rPr>
          <w:sz w:val="24"/>
        </w:rPr>
      </w:pPr>
    </w:p>
    <w:p w:rsidR="00554924" w:rsidRPr="000C4562" w:rsidRDefault="00554924" w:rsidP="00554924">
      <w:pPr>
        <w:rPr>
          <w:sz w:val="24"/>
        </w:rPr>
      </w:pPr>
      <w:r w:rsidRPr="000C4562">
        <w:rPr>
          <w:sz w:val="24"/>
        </w:rPr>
        <w:t>Este instituto objetiva evitar lançes com reduções irrisórias ou aviltantes, como por exemplo R$ 0,01 (um centavo). No entanto, o mesmo instituto não pode inviabilizar a competição, ou mesmo restringi-la, exigindo percentuais ou valores desproporcionais ou exorbitantes.</w:t>
      </w:r>
    </w:p>
    <w:p w:rsidR="00554924" w:rsidRPr="000C4562" w:rsidRDefault="00554924" w:rsidP="00554924">
      <w:pPr>
        <w:rPr>
          <w:sz w:val="24"/>
        </w:rPr>
      </w:pPr>
    </w:p>
    <w:p w:rsidR="00554924" w:rsidRPr="000C4562" w:rsidRDefault="00554924" w:rsidP="00554924">
      <w:pPr>
        <w:rPr>
          <w:sz w:val="24"/>
        </w:rPr>
      </w:pPr>
      <w:r w:rsidRPr="000C4562">
        <w:rPr>
          <w:sz w:val="24"/>
        </w:rPr>
        <w:t>É verdade que não se alcançará, nem é o propósito, um percentual ou valor ótimo ou “tipo ideal”. A carga subjetiva é grande e larga, mas, a função do edital é definir os critérios para torná-los objetivos perante todos. Por isso, definiu-se o valor</w:t>
      </w:r>
      <w:r w:rsidR="0044542F" w:rsidRPr="000C4562">
        <w:rPr>
          <w:sz w:val="24"/>
        </w:rPr>
        <w:t>/percentual</w:t>
      </w:r>
      <w:r w:rsidRPr="000C4562">
        <w:rPr>
          <w:sz w:val="24"/>
        </w:rPr>
        <w:t xml:space="preserve"> mínimo entre os lances, conforme grafado no edital, tomando em conta que a competição dar-se-á por unidade de serviço (valor global). Tal valor fora acordado e definido com equipe técnica em conjunto com a equipe da 5ª/SL, por entender ser capaz de alijar lançes com redução irrisória ou aviltante, bem como prevenir a inviabilidade, ou mesmo restrição, da competição entre os fornecedores.</w:t>
      </w:r>
    </w:p>
    <w:p w:rsidR="001D6AD7" w:rsidRPr="000C4562" w:rsidRDefault="001D6AD7" w:rsidP="00A21ACF">
      <w:pPr>
        <w:spacing w:line="360" w:lineRule="auto"/>
        <w:ind w:firstLine="851"/>
        <w:rPr>
          <w:sz w:val="24"/>
        </w:rPr>
      </w:pPr>
    </w:p>
    <w:p w:rsidR="00DA545D" w:rsidRPr="000C4562" w:rsidRDefault="00DA545D" w:rsidP="00A21ACF">
      <w:pPr>
        <w:spacing w:line="360" w:lineRule="auto"/>
        <w:ind w:firstLine="851"/>
        <w:rPr>
          <w:sz w:val="24"/>
        </w:rPr>
      </w:pPr>
    </w:p>
    <w:p w:rsidR="001D6AD7" w:rsidRPr="000C4562" w:rsidRDefault="001D6AD7" w:rsidP="00A21ACF">
      <w:pPr>
        <w:spacing w:line="360" w:lineRule="auto"/>
        <w:ind w:firstLine="851"/>
        <w:rPr>
          <w:sz w:val="24"/>
        </w:rPr>
      </w:pPr>
      <w:r w:rsidRPr="000C4562">
        <w:rPr>
          <w:sz w:val="24"/>
        </w:rPr>
        <w:t>Manoel da Costa Santos</w:t>
      </w:r>
    </w:p>
    <w:p w:rsidR="001D6AD7" w:rsidRPr="000C4562" w:rsidRDefault="001D6AD7" w:rsidP="00A21ACF">
      <w:pPr>
        <w:spacing w:line="360" w:lineRule="auto"/>
        <w:ind w:firstLine="851"/>
        <w:rPr>
          <w:sz w:val="24"/>
        </w:rPr>
      </w:pPr>
      <w:r w:rsidRPr="000C4562">
        <w:rPr>
          <w:sz w:val="24"/>
        </w:rPr>
        <w:t>Chefe da SL</w:t>
      </w:r>
    </w:p>
    <w:p w:rsidR="00A21ACF" w:rsidRPr="000C4562" w:rsidRDefault="00A21ACF" w:rsidP="00A21ACF">
      <w:pPr>
        <w:spacing w:line="360" w:lineRule="auto"/>
        <w:ind w:firstLine="709"/>
        <w:rPr>
          <w:sz w:val="24"/>
        </w:rPr>
      </w:pPr>
    </w:p>
    <w:p w:rsidR="00A026A4" w:rsidRPr="000C4562" w:rsidRDefault="00A026A4">
      <w:pPr>
        <w:rPr>
          <w:sz w:val="24"/>
        </w:rPr>
      </w:pPr>
    </w:p>
    <w:sectPr w:rsidR="00A026A4" w:rsidRPr="000C4562">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90C" w:rsidRDefault="00AE290C" w:rsidP="00A21ACF">
      <w:r>
        <w:separator/>
      </w:r>
    </w:p>
  </w:endnote>
  <w:endnote w:type="continuationSeparator" w:id="0">
    <w:p w:rsidR="00AE290C" w:rsidRDefault="00AE290C" w:rsidP="00A2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90C" w:rsidRDefault="00AE290C" w:rsidP="00A21ACF">
      <w:r>
        <w:separator/>
      </w:r>
    </w:p>
  </w:footnote>
  <w:footnote w:type="continuationSeparator" w:id="0">
    <w:p w:rsidR="00AE290C" w:rsidRDefault="00AE290C" w:rsidP="00A21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ACF" w:rsidRDefault="00A21ACF" w:rsidP="00A21ACF">
    <w:pPr>
      <w:pStyle w:val="Cabealho"/>
      <w:jc w:val="center"/>
    </w:pPr>
    <w:r>
      <w:t>MINISTÉRIO DA INTEGRAÇÃO E DO DESENVOLVIMENTO REGIONAL – MIDR</w:t>
    </w:r>
  </w:p>
  <w:p w:rsidR="00A21ACF" w:rsidRDefault="00A21ACF" w:rsidP="00A21ACF">
    <w:pPr>
      <w:pStyle w:val="Cabealho"/>
      <w:jc w:val="center"/>
    </w:pPr>
    <w:r>
      <w:t>Companhia de Desenvolvimento dos Vales do São Francisco e do Parnaíba – CODEVASF</w:t>
    </w:r>
  </w:p>
  <w:p w:rsidR="00A21ACF" w:rsidRDefault="00A21ACF" w:rsidP="00A21ACF">
    <w:pPr>
      <w:pStyle w:val="Cabealho"/>
      <w:jc w:val="center"/>
    </w:pPr>
    <w:r>
      <w:t>5ª Superintendência Regional</w:t>
    </w:r>
  </w:p>
  <w:p w:rsidR="00A21ACF" w:rsidRDefault="00A21ACF" w:rsidP="00A21ACF">
    <w:pPr>
      <w:pStyle w:val="Cabealho"/>
      <w:jc w:val="center"/>
    </w:pPr>
    <w:r>
      <w:t>Secretaria Regional de Licitações</w:t>
    </w:r>
  </w:p>
  <w:p w:rsidR="00A21ACF" w:rsidRDefault="00A21AC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630F13"/>
    <w:multiLevelType w:val="multilevel"/>
    <w:tmpl w:val="26D0478C"/>
    <w:lvl w:ilvl="0">
      <w:start w:val="1"/>
      <w:numFmt w:val="decimal"/>
      <w:lvlText w:val="%1."/>
      <w:lvlJc w:val="left"/>
      <w:pPr>
        <w:ind w:left="1658" w:hanging="360"/>
      </w:pPr>
      <w:rPr>
        <w:rFonts w:hint="default"/>
      </w:rPr>
    </w:lvl>
    <w:lvl w:ilvl="1">
      <w:start w:val="1"/>
      <w:numFmt w:val="decimal"/>
      <w:isLgl/>
      <w:lvlText w:val="%1.%2."/>
      <w:lvlJc w:val="left"/>
      <w:pPr>
        <w:ind w:left="2018" w:hanging="7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378" w:hanging="108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738" w:hanging="144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3098" w:hanging="1800"/>
      </w:pPr>
      <w:rPr>
        <w:rFonts w:hint="default"/>
      </w:rPr>
    </w:lvl>
    <w:lvl w:ilvl="8">
      <w:start w:val="1"/>
      <w:numFmt w:val="decimal"/>
      <w:isLgl/>
      <w:lvlText w:val="%1.%2.%3.%4.%5.%6.%7.%8.%9."/>
      <w:lvlJc w:val="left"/>
      <w:pPr>
        <w:ind w:left="3458" w:hanging="2160"/>
      </w:pPr>
      <w:rPr>
        <w:rFonts w:hint="default"/>
      </w:rPr>
    </w:lvl>
  </w:abstractNum>
  <w:abstractNum w:abstractNumId="1">
    <w:nsid w:val="771D56AD"/>
    <w:multiLevelType w:val="hybridMultilevel"/>
    <w:tmpl w:val="631246D0"/>
    <w:lvl w:ilvl="0" w:tplc="164A92E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ACF"/>
    <w:rsid w:val="000C4562"/>
    <w:rsid w:val="000D616C"/>
    <w:rsid w:val="001A3431"/>
    <w:rsid w:val="001D6AD7"/>
    <w:rsid w:val="002D1FA3"/>
    <w:rsid w:val="003469D2"/>
    <w:rsid w:val="00396990"/>
    <w:rsid w:val="0044542F"/>
    <w:rsid w:val="004746FC"/>
    <w:rsid w:val="00554924"/>
    <w:rsid w:val="00593F74"/>
    <w:rsid w:val="006A7780"/>
    <w:rsid w:val="00727812"/>
    <w:rsid w:val="00836D97"/>
    <w:rsid w:val="00A026A4"/>
    <w:rsid w:val="00A21ACF"/>
    <w:rsid w:val="00AE290C"/>
    <w:rsid w:val="00B45CDD"/>
    <w:rsid w:val="00DA545D"/>
    <w:rsid w:val="00DD43A5"/>
    <w:rsid w:val="00F72798"/>
    <w:rsid w:val="00FC41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0B2199-642E-4A94-B0EF-34873CB77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ACF"/>
    <w:pPr>
      <w:suppressAutoHyphens/>
      <w:spacing w:after="0" w:line="240" w:lineRule="auto"/>
      <w:jc w:val="both"/>
    </w:pPr>
    <w:rPr>
      <w:rFonts w:ascii="Arial" w:eastAsia="Calibri" w:hAnsi="Arial" w:cs="Arial"/>
      <w:sz w:val="20"/>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21ACF"/>
    <w:pPr>
      <w:ind w:left="720"/>
      <w:contextualSpacing/>
    </w:pPr>
  </w:style>
  <w:style w:type="paragraph" w:styleId="Cabealho">
    <w:name w:val="header"/>
    <w:basedOn w:val="Normal"/>
    <w:link w:val="CabealhoChar"/>
    <w:uiPriority w:val="99"/>
    <w:unhideWhenUsed/>
    <w:rsid w:val="00A21ACF"/>
    <w:pPr>
      <w:tabs>
        <w:tab w:val="center" w:pos="4252"/>
        <w:tab w:val="right" w:pos="8504"/>
      </w:tabs>
    </w:pPr>
  </w:style>
  <w:style w:type="character" w:customStyle="1" w:styleId="CabealhoChar">
    <w:name w:val="Cabeçalho Char"/>
    <w:basedOn w:val="Fontepargpadro"/>
    <w:link w:val="Cabealho"/>
    <w:uiPriority w:val="99"/>
    <w:rsid w:val="00A21ACF"/>
    <w:rPr>
      <w:rFonts w:ascii="Arial" w:eastAsia="Calibri" w:hAnsi="Arial" w:cs="Arial"/>
      <w:sz w:val="20"/>
      <w:szCs w:val="24"/>
      <w:lang w:eastAsia="zh-CN"/>
    </w:rPr>
  </w:style>
  <w:style w:type="paragraph" w:styleId="Rodap">
    <w:name w:val="footer"/>
    <w:basedOn w:val="Normal"/>
    <w:link w:val="RodapChar"/>
    <w:uiPriority w:val="99"/>
    <w:unhideWhenUsed/>
    <w:rsid w:val="00A21ACF"/>
    <w:pPr>
      <w:tabs>
        <w:tab w:val="center" w:pos="4252"/>
        <w:tab w:val="right" w:pos="8504"/>
      </w:tabs>
    </w:pPr>
  </w:style>
  <w:style w:type="character" w:customStyle="1" w:styleId="RodapChar">
    <w:name w:val="Rodapé Char"/>
    <w:basedOn w:val="Fontepargpadro"/>
    <w:link w:val="Rodap"/>
    <w:uiPriority w:val="99"/>
    <w:rsid w:val="00A21ACF"/>
    <w:rPr>
      <w:rFonts w:ascii="Arial" w:eastAsia="Calibri" w:hAnsi="Arial" w:cs="Arial"/>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1190</Words>
  <Characters>6428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Manoel da Costa Santos</dc:creator>
  <cp:keywords/>
  <dc:description/>
  <cp:lastModifiedBy>Manoel da Costa Santos</cp:lastModifiedBy>
  <cp:revision>12</cp:revision>
  <dcterms:created xsi:type="dcterms:W3CDTF">2024-07-26T10:41:00Z</dcterms:created>
  <dcterms:modified xsi:type="dcterms:W3CDTF">2024-09-05T09:08:00Z</dcterms:modified>
</cp:coreProperties>
</file>